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Wintergarten Hamburg: Was muss ich einreichen und welche Fristen gelten?</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Die richtige Entscheidung zwischen Kaltwintergarten und Warmwintergarten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wintergarten.de/index.html" TargetMode="External"/><Relationship Id="rId10" Type="http://schemas.openxmlformats.org/officeDocument/2006/relationships/hyperlink" Target="https://azure.040wintergarten.de/paket-f31a592dac674d319ab356cad31ebd72/wintergarten-planen-die-richtige-entscheidung-zwischen-kaltwintergarte-bb0e52b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